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b/>
          <w:bCs/>
          <w:color w:val="212121"/>
          <w:sz w:val="20"/>
          <w:szCs w:val="20"/>
        </w:rPr>
        <w:t>What is the Triochron model of Research and Development and why is it different to other companies that do the same thing?</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The vast majority of other companies that focus on research and development start with an idea for commercialisation and then conduct the requisite research to support that idea.  At Triochron, we have turned that concept on its head and we begin with the research, not the commercial idea.  With our scientists and mathematicians free to research any aspect of the physical Universe, the discoveries from the Research arm have the potential to produce extraordinary outcomes. </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 </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After the research findings are verified and finalised, only then does the Development arm become involved as they begin the process of developing potential practical applications for the science.  This freedom to research at will, without the rigid pre-existing constraints of other organisations is what gives Triochron opportunities across such a breadth of industry sectors including communications, renewable energy, computing, health and defence.  Put simply, we are not tied irrevocably to one particular industry or idea – we go where the science takes us.</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 </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b/>
          <w:bCs/>
          <w:color w:val="212121"/>
          <w:sz w:val="20"/>
          <w:szCs w:val="20"/>
        </w:rPr>
        <w:t>Isn’t this what Universities do?</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While it’s correct that a lot of theoretical research is done at universities, the people undertaking that research generally have additional responsibilities, such as teaching and course administration, which preclude them from dedicating themselves entirely to their research.  In addition, research activities at universities are often grant-driven and grants generally come with specific guidelines within which the research must comply.  Triochron does not place these constraints on our scientists and we let the research drive the ideas – not the other way around. </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 </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The other significant difference between Triochron and university setting is the synergy created between our Research and Development arms.  University-based research generally concludes with no practical application of the findings but at Triochron Industries, we parlay our research into ground-breaking technology via the seamless integration and ongoing co-operation between all branches of our company.</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 </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b/>
          <w:bCs/>
          <w:color w:val="212121"/>
          <w:sz w:val="20"/>
          <w:szCs w:val="20"/>
        </w:rPr>
        <w:t>Why Tasmania?</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 xml:space="preserve">This question is asked </w:t>
      </w:r>
      <w:proofErr w:type="gramStart"/>
      <w:r w:rsidRPr="00BB4600">
        <w:rPr>
          <w:rFonts w:ascii="Calibri" w:hAnsi="Calibri"/>
          <w:color w:val="212121"/>
          <w:sz w:val="20"/>
          <w:szCs w:val="20"/>
        </w:rPr>
        <w:t>often,</w:t>
      </w:r>
      <w:proofErr w:type="gramEnd"/>
      <w:r w:rsidRPr="00BB4600">
        <w:rPr>
          <w:rFonts w:ascii="Calibri" w:hAnsi="Calibri"/>
          <w:color w:val="212121"/>
          <w:sz w:val="20"/>
          <w:szCs w:val="20"/>
        </w:rPr>
        <w:t xml:space="preserve"> almost as if it’s a surprise that Tasmania could host a company such as Triochron Industries.  That question can be countered with another – why </w:t>
      </w:r>
      <w:r w:rsidRPr="00BB4600">
        <w:rPr>
          <w:rFonts w:ascii="Calibri" w:hAnsi="Calibri"/>
          <w:i/>
          <w:color w:val="212121"/>
          <w:sz w:val="20"/>
          <w:szCs w:val="20"/>
        </w:rPr>
        <w:t>not</w:t>
      </w:r>
      <w:r w:rsidRPr="00BB4600">
        <w:rPr>
          <w:rFonts w:ascii="Calibri" w:hAnsi="Calibri"/>
          <w:color w:val="212121"/>
          <w:sz w:val="20"/>
          <w:szCs w:val="20"/>
        </w:rPr>
        <w:t xml:space="preserve"> Tasmania?  The University of Tasmania turns out a huge number of exceptional minds every year but far too many leave </w:t>
      </w:r>
      <w:r w:rsidR="00BB4600">
        <w:rPr>
          <w:rFonts w:ascii="Calibri" w:hAnsi="Calibri"/>
          <w:color w:val="212121"/>
          <w:sz w:val="20"/>
          <w:szCs w:val="20"/>
        </w:rPr>
        <w:t xml:space="preserve">Tasmania </w:t>
      </w:r>
      <w:r w:rsidRPr="00BB4600">
        <w:rPr>
          <w:rFonts w:ascii="Calibri" w:hAnsi="Calibri"/>
          <w:color w:val="212121"/>
          <w:sz w:val="20"/>
          <w:szCs w:val="20"/>
        </w:rPr>
        <w:t>because of a lack of opportunity to practice their chosen discipline in their home state.  With the digital world becoming smaller, there is no reason why a company based in Tasmania cannot compete on the global stage at the highest levels. </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 </w:t>
      </w:r>
    </w:p>
    <w:p w:rsidR="00F54204" w:rsidRPr="00BB4600" w:rsidRDefault="00F54204" w:rsidP="00F54204">
      <w:pPr>
        <w:pStyle w:val="xmsonormal"/>
        <w:shd w:val="clear" w:color="auto" w:fill="FFFFFF"/>
        <w:spacing w:before="0" w:beforeAutospacing="0" w:after="0" w:afterAutospacing="0"/>
        <w:rPr>
          <w:rFonts w:ascii="Calibri" w:hAnsi="Calibri"/>
          <w:color w:val="212121"/>
          <w:sz w:val="20"/>
          <w:szCs w:val="20"/>
        </w:rPr>
      </w:pPr>
      <w:r w:rsidRPr="00BB4600">
        <w:rPr>
          <w:rFonts w:ascii="Calibri" w:hAnsi="Calibri"/>
          <w:color w:val="212121"/>
          <w:sz w:val="20"/>
          <w:szCs w:val="20"/>
        </w:rPr>
        <w:t>Triochron Industries is committed to employing the best scientific minds available and Tasmania is the perfect starting point for finding the right people and encouraging them to stay at home rather than being lost to the State forever.  </w:t>
      </w:r>
      <w:r w:rsidR="00BB4600" w:rsidRPr="00BB4600">
        <w:rPr>
          <w:rFonts w:ascii="Calibri" w:hAnsi="Calibri"/>
          <w:color w:val="212121"/>
          <w:sz w:val="20"/>
          <w:szCs w:val="20"/>
        </w:rPr>
        <w:t>Tasmania</w:t>
      </w:r>
      <w:r w:rsidRPr="00BB4600">
        <w:rPr>
          <w:rFonts w:ascii="Calibri" w:hAnsi="Calibri"/>
          <w:color w:val="212121"/>
          <w:sz w:val="20"/>
          <w:szCs w:val="20"/>
        </w:rPr>
        <w:t xml:space="preserve"> and Australia in general, </w:t>
      </w:r>
      <w:r w:rsidR="00BB4600">
        <w:rPr>
          <w:rFonts w:ascii="Calibri" w:hAnsi="Calibri"/>
          <w:color w:val="212121"/>
          <w:sz w:val="20"/>
          <w:szCs w:val="20"/>
        </w:rPr>
        <w:t>are</w:t>
      </w:r>
      <w:r w:rsidRPr="00BB4600">
        <w:rPr>
          <w:rFonts w:ascii="Calibri" w:hAnsi="Calibri"/>
          <w:color w:val="212121"/>
          <w:sz w:val="20"/>
          <w:szCs w:val="20"/>
        </w:rPr>
        <w:t xml:space="preserve"> home to some of the finest minds on the planet but what has been missing is the right environment to encourage and reward them.  At Triochron, our mission is to ensure the cream of our scientific minds have a place to ply their trade; unhindered and </w:t>
      </w:r>
      <w:r w:rsidR="00BB4600">
        <w:rPr>
          <w:rFonts w:ascii="Calibri" w:hAnsi="Calibri"/>
          <w:color w:val="212121"/>
          <w:sz w:val="20"/>
          <w:szCs w:val="20"/>
        </w:rPr>
        <w:t>held in the esteem they deserve</w:t>
      </w:r>
      <w:r w:rsidRPr="00BB4600">
        <w:rPr>
          <w:rFonts w:ascii="Calibri" w:hAnsi="Calibri"/>
          <w:color w:val="212121"/>
          <w:sz w:val="20"/>
          <w:szCs w:val="20"/>
        </w:rPr>
        <w:t>. </w:t>
      </w:r>
    </w:p>
    <w:p w:rsidR="008774D6" w:rsidRPr="00BB4600" w:rsidRDefault="008774D6">
      <w:pPr>
        <w:rPr>
          <w:sz w:val="20"/>
          <w:szCs w:val="20"/>
        </w:rPr>
      </w:pPr>
    </w:p>
    <w:sectPr w:rsidR="008774D6" w:rsidRPr="00BB4600" w:rsidSect="008774D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4204"/>
    <w:rsid w:val="008774D6"/>
    <w:rsid w:val="00BB4600"/>
    <w:rsid w:val="00F5420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4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F54204"/>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7478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494</Words>
  <Characters>2819</Characters>
  <Application>Microsoft Office Word</Application>
  <DocSecurity>0</DocSecurity>
  <Lines>23</Lines>
  <Paragraphs>6</Paragraphs>
  <ScaleCrop>false</ScaleCrop>
  <Company>Hewlett-Packard</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2</cp:revision>
  <dcterms:created xsi:type="dcterms:W3CDTF">2016-05-05T09:43:00Z</dcterms:created>
  <dcterms:modified xsi:type="dcterms:W3CDTF">2016-05-05T10:24:00Z</dcterms:modified>
</cp:coreProperties>
</file>